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D61E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803" w:firstLineChars="200"/>
        <w:jc w:val="center"/>
        <w:textAlignment w:val="auto"/>
        <w:rPr>
          <w:rFonts w:hint="eastAsia" w:ascii="宋体" w:hAnsi="宋体" w:eastAsia="宋体" w:cs="宋体"/>
          <w:color w:val="000000"/>
          <w:sz w:val="40"/>
          <w:szCs w:val="40"/>
        </w:rPr>
      </w:pPr>
      <w:r>
        <w:rPr>
          <w:rFonts w:hint="eastAsia" w:cs="宋体"/>
          <w:color w:val="000000"/>
          <w:sz w:val="40"/>
          <w:szCs w:val="40"/>
          <w:lang w:val="en-US" w:eastAsia="zh-CN"/>
        </w:rPr>
        <w:t>合 同 协 议 书</w:t>
      </w:r>
    </w:p>
    <w:p w14:paraId="326857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合同编号：________________ </w:t>
      </w:r>
    </w:p>
    <w:p w14:paraId="6D0BC17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甲方（采购人）：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 xml:space="preserve">铜川市城市管理执法局 </w:t>
      </w:r>
    </w:p>
    <w:p w14:paraId="4DEB90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乙方（设计单位 / 成交供应商）：________________ </w:t>
      </w:r>
    </w:p>
    <w:p w14:paraId="25B30F6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依据《中华人民共和国民法典》《中华人民共和国政府采购法》《建设工程质量管理条例》《建设工程勘察设计管理条例》及本项目竞争性磋商文件、乙方响应文件、成交通知书，甲乙双方本着平等自愿、诚实信用原则，就本项目施工图设计及全过程配套技术服务事宜订立本合同，共同遵照执行。</w:t>
      </w:r>
    </w:p>
    <w:p w14:paraId="7DA09E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第一部分 合同协议书</w:t>
      </w:r>
    </w:p>
    <w:p w14:paraId="0E5B37B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一、项目概况</w:t>
      </w:r>
    </w:p>
    <w:p w14:paraId="63E3EB7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项目名称：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铜川市新区工人文化宫片区排水管网改造项目施工图编制</w:t>
      </w:r>
    </w:p>
    <w:p w14:paraId="272318C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建设地点：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铜川市新区长虹路（北环路 — 咸丰路）</w:t>
      </w:r>
    </w:p>
    <w:p w14:paraId="02C26BC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建设内容：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主要对长虹路(北环路-咸丰路)道路下污水、雨水管道进行更新改造，并对管道开挖沟槽范围内的路面、路基进行恢复，改造雨水主管及支管3.85公里，改造污水主管及支管2.57公里等，并完成雨、污水检查井、雨水口等附属工程。施工图设计及项目实施过程中相关报建、评审、招标、施工、验收等技术服务。</w:t>
      </w:r>
    </w:p>
    <w:p w14:paraId="1540ABF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采购内容：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全套施工图设计、工程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算编制，全过程报建、评审、招标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配合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、施工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配合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、竣工验收配套技术服务。</w:t>
      </w:r>
    </w:p>
    <w:p w14:paraId="49344F3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二、合同价款</w:t>
      </w:r>
    </w:p>
    <w:p w14:paraId="32DBB3D7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人民币</w:t>
      </w:r>
      <w:r>
        <w:rPr>
          <w:rStyle w:val="8"/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</w:t>
      </w:r>
      <w:r>
        <w:rPr>
          <w:rStyle w:val="8"/>
          <w:rFonts w:hint="eastAsia" w:ascii="宋体" w:hAnsi="宋体" w:eastAsia="宋体" w:cs="宋体"/>
          <w:b w:val="0"/>
          <w:bCs/>
          <w:color w:val="000000"/>
          <w:sz w:val="28"/>
          <w:szCs w:val="28"/>
          <w:u w:val="none"/>
        </w:rPr>
        <w:t>元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（大写：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）。</w:t>
      </w:r>
    </w:p>
    <w:p w14:paraId="1495851C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价款包含：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图纸设计、计算书、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算、图纸打印、电子文件、专家评审配合、驻场服务、差旅、税费、图纸修改、质保期技术服务等全部成本，除本合同约定甲方重大变更情形外，甲方无需另行支付任何费用。</w:t>
      </w:r>
    </w:p>
    <w:p w14:paraId="109DA09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三、合同履行期限</w:t>
      </w:r>
      <w:bookmarkStart w:id="0" w:name="_GoBack"/>
      <w:bookmarkEnd w:id="0"/>
    </w:p>
    <w:p w14:paraId="1876E1C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合同签订且甲方提供完整基础资料后</w:t>
      </w:r>
      <w:r>
        <w:rPr>
          <w:rStyle w:val="8"/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15 个工作日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内提交全套合格施工图终版成果。</w:t>
      </w:r>
    </w:p>
    <w:p w14:paraId="601727F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四、履约地点</w:t>
      </w:r>
    </w:p>
    <w:p w14:paraId="1549C83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铜川市新区（采购人指定地点）</w:t>
      </w:r>
    </w:p>
    <w:p w14:paraId="1F38E99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五、付款方式</w:t>
      </w:r>
    </w:p>
    <w:p w14:paraId="04E821EA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预付款：合同签订、资料交接完成且达到付款条件 10 个工作日内，支付合同总价 30%；</w:t>
      </w:r>
    </w:p>
    <w:p w14:paraId="1E28DD9D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进度款 1：施工图通过主管部门、审图机构评审合格，10 个工作日内支付合同总价 50%；</w:t>
      </w:r>
    </w:p>
    <w:p w14:paraId="39FC3FD2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尾款：项目整体竣工验收合格、完成履约验收、全套档案移交完成，10 个工作日内支付剩余20%。</w:t>
      </w:r>
    </w:p>
    <w:p w14:paraId="294618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六、合同文件解释顺序</w:t>
      </w:r>
    </w:p>
    <w:p w14:paraId="07F37F89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成交通知书；2. 本合同协议书及专用条款；3. 竞争性磋商采购需求；4. 乙方投标响应文件；5. 国家、地方现行规范标准；6. 双方往来书面函件、会议纪要；7. 补充协议。 同类文件内容冲突，以最晚签署文件为准。</w:t>
      </w:r>
    </w:p>
    <w:p w14:paraId="1916648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七、双方承诺</w:t>
      </w:r>
    </w:p>
    <w:p w14:paraId="2D68FB7E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甲方承诺按合同约定及时提供基础资料、按期支付设计费用，配合乙方开展各项报审评审工作；</w:t>
      </w:r>
    </w:p>
    <w:p w14:paraId="25F2502C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乙方承诺具备对应设计资质、配齐投标承诺人员，严格按照采购需求、国家强制规范完成设计，图纸无错漏碰缺，全程配合项目全周期技术服务，承担设计缺陷全部责任。</w:t>
      </w:r>
    </w:p>
    <w:p w14:paraId="57ADF8D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八、合同份数</w:t>
      </w:r>
    </w:p>
    <w:p w14:paraId="5002B44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正本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贰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份，甲乙双方各执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壹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份；副本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份，甲方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肆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份、乙方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u w:val="single"/>
          <w:lang w:val="en-US" w:eastAsia="zh-CN" w:bidi="ar"/>
        </w:rPr>
        <w:t>贰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份，正副本具有同等法律效力。</w:t>
      </w:r>
    </w:p>
    <w:p w14:paraId="07CFAB4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甲方（盖章）：________________ </w:t>
      </w:r>
    </w:p>
    <w:p w14:paraId="6B7134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法定代表人 / 授权代表签字：________ </w:t>
      </w:r>
    </w:p>
    <w:p w14:paraId="447CAAA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签订日期：______年____月____日</w:t>
      </w:r>
    </w:p>
    <w:p w14:paraId="5CC774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</w:p>
    <w:p w14:paraId="159614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乙方（盖章）：________________ </w:t>
      </w:r>
    </w:p>
    <w:p w14:paraId="7625302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法定代表人 / 授权代表签字：________ </w:t>
      </w:r>
    </w:p>
    <w:p w14:paraId="6571F1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签订日期：______年____月____日</w:t>
      </w:r>
    </w:p>
    <w:p w14:paraId="2D66747D">
      <w:pP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br w:type="page"/>
      </w:r>
    </w:p>
    <w:p w14:paraId="623F9A8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第二部分 专用合同条款</w:t>
      </w:r>
    </w:p>
    <w:p w14:paraId="5CB0F61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第一条 设计依据、设计标准</w:t>
      </w:r>
    </w:p>
    <w:p w14:paraId="07CFFCA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上位规划：《铜川市国土空间总体规划（2021-2035）》《铜川市城镇污水工程专项规划（2023-2035）》《铜川市城市排水（雨水）防涝综合规划（2021-2035）》；</w:t>
      </w:r>
    </w:p>
    <w:p w14:paraId="3C568C86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给排水、结构、抗震、黄土地区全套国标、行标（详见采购需求全部规范清单）；</w:t>
      </w:r>
    </w:p>
    <w:p w14:paraId="146249B9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《建筑工程设计文件编制深度规定》（住建部 2016 版）、铜川市城建档案归档标准。</w:t>
      </w:r>
    </w:p>
    <w:p w14:paraId="2BFE55B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第二条 技术工艺与设计要求</w:t>
      </w:r>
    </w:p>
    <w:p w14:paraId="01584E02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全线严格执行雨污分流，拆除现状老旧管道，新建独立雨、污水管网，同步改造支管并预留远期地块接入接口；</w:t>
      </w:r>
    </w:p>
    <w:p w14:paraId="2458D2B2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雨水管线总长 3845m，管径 d300~d1500，采用 II/III 级钢筋混凝土排水管；污水管线总长 2572m，dn400~dn500，采用 HDPE 双壁波纹管、II/III 级钢筋混凝土排水管；</w:t>
      </w:r>
    </w:p>
    <w:p w14:paraId="3E3FB562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配套构筑物：160 座钢筋混凝土检查井（Φ700 D400 球墨铸铁井盖 + 防坠网）、100 座预制偏沟双算雨水口（配成品截污挂篮）；</w:t>
      </w:r>
    </w:p>
    <w:p w14:paraId="14B17BE9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同步完成沟槽路基路面恢复、管线保护、交通导改、智慧排水调度系统预埋设计；</w:t>
      </w:r>
    </w:p>
    <w:p w14:paraId="547185AD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图纸仅标注技术参数，</w:t>
      </w:r>
      <w:r>
        <w:rPr>
          <w:rStyle w:val="8"/>
          <w:rFonts w:hint="eastAsia" w:ascii="宋体" w:hAnsi="宋体" w:eastAsia="宋体" w:cs="宋体"/>
          <w:color w:val="000000"/>
          <w:sz w:val="28"/>
          <w:szCs w:val="28"/>
        </w:rPr>
        <w:t>严禁指定管材、井盖、设备品牌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，推荐产品不少于 3 家同档次备选。</w:t>
      </w:r>
    </w:p>
    <w:p w14:paraId="17E0B16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第三条 设计成果交付要求</w:t>
      </w:r>
    </w:p>
    <w:p w14:paraId="7702434D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3.1 纸质成果</w:t>
      </w:r>
    </w:p>
    <w:p w14:paraId="05F1CFA2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正式蓝图 8 套（甲方 4、施工 2、审图 1、档案馆 1）；</w:t>
      </w:r>
    </w:p>
    <w:p w14:paraId="47518144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设计说明、水力 / 结构计算书、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算文本 6 套；</w:t>
      </w:r>
    </w:p>
    <w:p w14:paraId="31F81056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全部图纸加盖单位出图章、注册公用设备工程师（给排水）执业印章。</w:t>
      </w:r>
    </w:p>
    <w:p w14:paraId="76B763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3.2 电子成果（U 盘 2 套 + 光盘 2 套）</w:t>
      </w:r>
    </w:p>
    <w:p w14:paraId="6F67A72B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CAD 可编辑 DWG 图纸、高清盖章 PDF 图纸；</w:t>
      </w:r>
    </w:p>
    <w:p w14:paraId="2FF199F6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Word 可编辑文本、盖章版 PDF 文件；</w:t>
      </w:r>
    </w:p>
    <w:p w14:paraId="3CF0542B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Excel 工程量计价表、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广联达或新点计价版本、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盖章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算 PDF；</w:t>
      </w:r>
    </w:p>
    <w:p w14:paraId="3D6765DD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文件分类归档，满足城建数字化入库标准。</w:t>
      </w:r>
    </w:p>
    <w:p w14:paraId="5CF6F0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第四条 全过程配套技术服务</w:t>
      </w:r>
    </w:p>
    <w:p w14:paraId="64702EBD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报建评审：配合规划、城管、施工图审查、财政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评审，参会答疑，无偿根据评审意见修改图纸；</w:t>
      </w:r>
    </w:p>
    <w:p w14:paraId="74143191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招标配合：提供图纸答疑、工程量核对、招标技术条款编制、投标人澄清回复；</w:t>
      </w:r>
    </w:p>
    <w:p w14:paraId="60F151C4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施工阶段：开工集中交底；甲方通知后 24 小时到场答疑；常规变更 48 小时内出具正式图纸，重大线路调整 72 小时出具方案；</w:t>
      </w:r>
    </w:p>
    <w:p w14:paraId="795D5E5C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竣工验收：全程参与分部分项及整体竣工验收，配合竣工图核对、城建档案整理；</w:t>
      </w:r>
    </w:p>
    <w:p w14:paraId="7EB4F4F2">
      <w:pPr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质保服务：设计缺陷无偿整改、现场技术支撑；管网主体结构、强制性条文缺陷终身负责。</w:t>
      </w:r>
    </w:p>
    <w:p w14:paraId="2A6B040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第五条 知识产权归属与处理方式</w:t>
      </w:r>
    </w:p>
    <w:p w14:paraId="76F92541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本项目专属管线图纸、构筑物详图、专项方案等定制成果</w:t>
      </w:r>
      <w:r>
        <w:rPr>
          <w:rStyle w:val="8"/>
          <w:rFonts w:hint="eastAsia" w:ascii="宋体" w:hAnsi="宋体" w:eastAsia="宋体" w:cs="宋体"/>
          <w:color w:val="000000"/>
          <w:sz w:val="28"/>
          <w:szCs w:val="28"/>
        </w:rPr>
        <w:t>全部知识产权归甲方所有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；乙方仅享有署名权，可用于企业业绩宣传、行业评优，未经甲方书面许可不得转让、出借、套用于其他项目；</w:t>
      </w:r>
    </w:p>
    <w:p w14:paraId="1AC84F0E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乙方自有通用模板、标准图集、通用给排水软件知识产权归乙方，甲方仅限本项目无偿使用，不得单独提取用于其他工程；</w:t>
      </w:r>
    </w:p>
    <w:p w14:paraId="057436B7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若乙方交付成果侵犯第三方知识产权，全部赔偿、诉讼、整改费用由乙方自行承担；</w:t>
      </w:r>
    </w:p>
    <w:p w14:paraId="1F7D4A6E">
      <w:pPr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甲方可无偿使用本套成果用于本项目改扩建、维修改造，无需另行付费。</w:t>
      </w:r>
    </w:p>
    <w:p w14:paraId="11EE9A7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第六条 成本补偿与风险分担</w:t>
      </w:r>
    </w:p>
    <w:p w14:paraId="057BD77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6.1 成本补偿约定</w:t>
      </w:r>
    </w:p>
    <w:p w14:paraId="417EBEB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本合同总价合同，仅出现以下甲方责任情形，乙方可 5 日内提交书面测算申请，甲方审核后据实补偿增量费用：</w:t>
      </w:r>
    </w:p>
    <w:p w14:paraId="41D13D53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甲方重大调整改造范围、管线路由、排水设计标准，导致全套图纸重做；</w:t>
      </w:r>
    </w:p>
    <w:p w14:paraId="57FCE7C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甲方提供地形、管线、勘察资料失真、缺失，造成反复返工；</w:t>
      </w:r>
    </w:p>
    <w:p w14:paraId="7991049C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上位规划、主管部门审批要求重大变更；</w:t>
      </w:r>
    </w:p>
    <w:p w14:paraId="3B904B90">
      <w:pPr>
        <w:keepNext w:val="0"/>
        <w:keepLines w:val="0"/>
        <w:pageBreakBefore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甲方新增合同外专项论证、重复评审、扩容专项设计。 不予补偿情形：乙方图纸错漏、常规评审小幅修改、人工材料市场价格波动、乙方未充分踏勘现状造成返工。</w:t>
      </w:r>
    </w:p>
    <w:p w14:paraId="657CB37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6.2 风险分担</w:t>
      </w:r>
    </w:p>
    <w:p w14:paraId="1958688E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甲方承担：规划政策调整、基础资料不实、征地管线协调、项目停缓建、甲方主动变更方案风险；</w:t>
      </w:r>
    </w:p>
    <w:p w14:paraId="3C35F124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乙方承担：设计技术缺陷、工期延误、人员成本上涨、知识产权侵权、转包分包管理风险；</w:t>
      </w:r>
    </w:p>
    <w:p w14:paraId="6BDEE638">
      <w:pPr>
        <w:keepNext w:val="0"/>
        <w:keepLines w:val="0"/>
        <w:pageBreakBefore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不可抗力双方共担，互不追责，已完成设计工作量据实结算，各方自行承担自身人员、设备损失。</w:t>
      </w:r>
    </w:p>
    <w:p w14:paraId="63AD76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第七条 质量保修范围与保修期</w:t>
      </w:r>
    </w:p>
    <w:p w14:paraId="6CE414A9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保修范围：本项目全套施工图、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预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算、技术交底、变更文件等全部设计成果；仅针对乙方设计错漏、规范误用、管线碰撞等设计自身缺陷提供免费整改；施工违规、甲方自行变更、勘察资料偏差、不可抗力不在保修范围内。</w:t>
      </w:r>
    </w:p>
    <w:p w14:paraId="22EDB607">
      <w:pPr>
        <w:keepNext w:val="0"/>
        <w:keepLines w:val="0"/>
        <w:pageBreakBefore w:val="0"/>
        <w:widowControl/>
        <w:numPr>
          <w:ilvl w:val="0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保修期：市政管网主体结构、工程强制性条文相关设计缺陷，乙方依法承担终身责任。</w:t>
      </w:r>
    </w:p>
    <w:p w14:paraId="19DD691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第八条 双方违约责任</w:t>
      </w:r>
    </w:p>
    <w:p w14:paraId="274C50A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8.1 甲方违约责任</w:t>
      </w:r>
    </w:p>
    <w:p w14:paraId="0771797E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逾期支付设计费，每逾期一日按应付未付款项 0.03% 支付违约金；逾期 30 日乙方可暂停交付图纸、现场服务，工期顺延；</w:t>
      </w:r>
    </w:p>
    <w:p w14:paraId="7289E0E9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甲方未按期提供基础资料造成工期延误，履约期限顺延，产生增量工作量按第六条予以成本补偿；</w:t>
      </w:r>
    </w:p>
    <w:p w14:paraId="4556D6A0">
      <w:pPr>
        <w:keepNext w:val="0"/>
        <w:keepLines w:val="0"/>
        <w:pageBreakBefore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甲方单方解除合同，据实结算已完成工作量，并支付合同总价 10% 违约金。</w:t>
      </w:r>
    </w:p>
    <w:p w14:paraId="6E121C6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2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8.2 乙方违约责任</w:t>
      </w:r>
    </w:p>
    <w:p w14:paraId="7A113E58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逾期交付全套设计成果，每逾期一日按合同总价 0.03% 支付违约金，违约金累计上限为合同总价 15%；逾期超 30 日，甲方有权单方解除合同，乙方返还全部已收款项，并支付合同总价 15% 违约金；</w:t>
      </w:r>
    </w:p>
    <w:p w14:paraId="1326A0FE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图纸存在错漏、违反强制条文、管线碰撞、排水参数错误，乙方无偿整改，工期不予顺延；经多次整改仍不满足审图、评审要求，甲方可另行委托第三方设计，乙方承担全部重新设计费用，并支付合同总价 10% 违约金；</w:t>
      </w:r>
    </w:p>
    <w:p w14:paraId="0BCAFC48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因设计失误造成工程返工、安全隐患、财产损失，乙方免收缺陷对应部分设计费，赔偿上限为合同总价 20%；涉及主体结构安全缺陷，乙方终身承担赔偿责任；</w:t>
      </w:r>
    </w:p>
    <w:p w14:paraId="172D2D3C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未经甲方书面许可擅自更换投标承诺项目负责人、注册给排水工程师，每次支付违约金 10000 元；评审、交底、验收通知无故缺席，每次违约金 2000 元；常规变更逾期出具图纸每次扣罚 500 元；</w:t>
      </w:r>
    </w:p>
    <w:p w14:paraId="0E4F7E4C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擅自转包、整体分包本项目设计工作，甲方有权解除合同，乙方返还全部已付款，并支付合同总价 20% 违约金；</w:t>
      </w:r>
    </w:p>
    <w:p w14:paraId="47059EF7">
      <w:pPr>
        <w:keepNext w:val="0"/>
        <w:keepLines w:val="0"/>
        <w:pageBreakBefore w:val="0"/>
        <w:widowControl/>
        <w:numPr>
          <w:ilvl w:val="0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泄露项目管线、规划涉密资料、将成果转交第三方，全部法律责任与经济损失由乙方承担。</w:t>
      </w:r>
    </w:p>
    <w:p w14:paraId="4DC0CA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第九条 争议解决方式</w:t>
      </w:r>
    </w:p>
    <w:p w14:paraId="14BFC30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合同履行产生分歧，双方先行友好协商；协商不成提请铜川市住建主管部门调解；调解无果，</w:t>
      </w:r>
      <w:r>
        <w:rPr>
          <w:rStyle w:val="8"/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向铜川市项目所在地人民法院提起民事诉讼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5717BD0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第十条 履约验收约定</w:t>
      </w:r>
    </w:p>
    <w:p w14:paraId="083288F6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验收组织：甲方自行组建验收小组，邀请给排水专业外部专家、项目运维代表参与，不委托第三方检测机构；</w:t>
      </w:r>
    </w:p>
    <w:p w14:paraId="209B32E5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验收程序：乙方提交完整成果与验收申请，甲方 10 日内组织一次性验收；验收不合格乙方 7 日内无偿整改重报，整改成本自行承担；验收合格后方可支付尾款；</w:t>
      </w:r>
    </w:p>
    <w:p w14:paraId="38D17991">
      <w:pPr>
        <w:keepNext w:val="0"/>
        <w:keepLines w:val="0"/>
        <w:pageBreakBefore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验收标准：全套图纸、计算书、电子档案齐全，符合国家强制规范、审图及城建归档要求；乙方全面履行工期、人员、服务、知识产权全部合同义务，无违约行为。</w:t>
      </w:r>
    </w:p>
    <w:p w14:paraId="063AA2E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第十一条 保密、廉政、转包、送达通用约定</w:t>
      </w:r>
    </w:p>
    <w:p w14:paraId="0FC650A6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保密：双方对本项目管线布局、规划资料、合同价款永久保密，合同终止后保密义务持续有效；</w:t>
      </w:r>
    </w:p>
    <w:p w14:paraId="03AA727D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廉政：甲乙双方严禁向对方工作人员、评审、审批人员行贿、馈赠礼品宴请；违规守约方可单方解约，违约方支付合同总价 20% 违约金并上报纪检、财政部门；</w:t>
      </w:r>
    </w:p>
    <w:p w14:paraId="532901E0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分包：本项目不得整体转包；如需分包辅助验算、勘察工作，须甲方书面同意，乙方对分包成果承担全部连带责任；</w:t>
      </w:r>
    </w:p>
    <w:p w14:paraId="2357984E">
      <w:pPr>
        <w:keepNext w:val="0"/>
        <w:keepLines w:val="0"/>
        <w:pageBreakBefore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送达：合同载明地址、联系方式为法定有效送达地址，变更须提前 5 日书面告知，书面函件寄出 3 日视为送达。</w:t>
      </w:r>
    </w:p>
    <w:p w14:paraId="6683E2C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第十二条 合同其他条款</w:t>
      </w:r>
    </w:p>
    <w:p w14:paraId="679E5E8C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本合同自甲乙双方签字盖章之日生效，全部义务履行完毕自动终止；项目停建、缓建可协商解除，据实结算已完成工作量；</w:t>
      </w:r>
    </w:p>
    <w:p w14:paraId="20BFF22D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本合同未尽事宜，双方签订书面补充协议，补充协议与本合同具备同等法律效力；口头约定无效；</w:t>
      </w:r>
    </w:p>
    <w:p w14:paraId="3046607E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评审、专家论证、图纸审查相关费用全部包含在合同总价内，甲方不另行支付；</w:t>
      </w:r>
    </w:p>
    <w:p w14:paraId="2842DE2E">
      <w:pPr>
        <w:keepNext w:val="0"/>
        <w:keepLines w:val="0"/>
        <w:pageBreakBefore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乙方自行承担驻场、差旅、软件、保险、全部税费等经营成本</w:t>
      </w:r>
      <w:r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  <w:t>。</w:t>
      </w:r>
    </w:p>
    <w:p w14:paraId="5D1F8D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5B8F9"/>
    <w:multiLevelType w:val="multilevel"/>
    <w:tmpl w:val="A355B8F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36CCE2C"/>
    <w:multiLevelType w:val="multilevel"/>
    <w:tmpl w:val="A36CCE2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F8C43ED"/>
    <w:multiLevelType w:val="multilevel"/>
    <w:tmpl w:val="AF8C43E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39E0921"/>
    <w:multiLevelType w:val="multilevel"/>
    <w:tmpl w:val="E39E092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A6E263F"/>
    <w:multiLevelType w:val="multilevel"/>
    <w:tmpl w:val="EA6E263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D19F3E4"/>
    <w:multiLevelType w:val="multilevel"/>
    <w:tmpl w:val="ED19F3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B9B01B1"/>
    <w:multiLevelType w:val="multilevel"/>
    <w:tmpl w:val="FB9B01B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102C4D48"/>
    <w:multiLevelType w:val="multilevel"/>
    <w:tmpl w:val="102C4D4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14365792"/>
    <w:multiLevelType w:val="multilevel"/>
    <w:tmpl w:val="1436579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1DFB7386"/>
    <w:multiLevelType w:val="multilevel"/>
    <w:tmpl w:val="1DFB738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3460D48B"/>
    <w:multiLevelType w:val="multilevel"/>
    <w:tmpl w:val="3460D48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3916D326"/>
    <w:multiLevelType w:val="multilevel"/>
    <w:tmpl w:val="3916D32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41C141CD"/>
    <w:multiLevelType w:val="multilevel"/>
    <w:tmpl w:val="41C141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4803D7A6"/>
    <w:multiLevelType w:val="multilevel"/>
    <w:tmpl w:val="4803D7A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4">
    <w:nsid w:val="49105781"/>
    <w:multiLevelType w:val="multilevel"/>
    <w:tmpl w:val="4910578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5">
    <w:nsid w:val="517366F7"/>
    <w:multiLevelType w:val="multilevel"/>
    <w:tmpl w:val="517366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6">
    <w:nsid w:val="59079AD8"/>
    <w:multiLevelType w:val="multilevel"/>
    <w:tmpl w:val="59079AD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7">
    <w:nsid w:val="620994C7"/>
    <w:multiLevelType w:val="multilevel"/>
    <w:tmpl w:val="620994C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8">
    <w:nsid w:val="750ABB52"/>
    <w:multiLevelType w:val="multilevel"/>
    <w:tmpl w:val="750ABB5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6"/>
  </w:num>
  <w:num w:numId="5">
    <w:abstractNumId w:val="0"/>
  </w:num>
  <w:num w:numId="6">
    <w:abstractNumId w:val="17"/>
  </w:num>
  <w:num w:numId="7">
    <w:abstractNumId w:val="13"/>
  </w:num>
  <w:num w:numId="8">
    <w:abstractNumId w:val="9"/>
  </w:num>
  <w:num w:numId="9">
    <w:abstractNumId w:val="4"/>
  </w:num>
  <w:num w:numId="10">
    <w:abstractNumId w:val="18"/>
  </w:num>
  <w:num w:numId="11">
    <w:abstractNumId w:val="3"/>
  </w:num>
  <w:num w:numId="12">
    <w:abstractNumId w:val="14"/>
  </w:num>
  <w:num w:numId="13">
    <w:abstractNumId w:val="2"/>
  </w:num>
  <w:num w:numId="14">
    <w:abstractNumId w:val="15"/>
  </w:num>
  <w:num w:numId="15">
    <w:abstractNumId w:val="7"/>
  </w:num>
  <w:num w:numId="16">
    <w:abstractNumId w:val="12"/>
  </w:num>
  <w:num w:numId="17">
    <w:abstractNumId w:val="8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B727C"/>
    <w:rsid w:val="091D7025"/>
    <w:rsid w:val="4ABF34BD"/>
    <w:rsid w:val="4B2B727C"/>
    <w:rsid w:val="557F1083"/>
    <w:rsid w:val="60B77C0D"/>
    <w:rsid w:val="69C14F0F"/>
    <w:rsid w:val="773B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3890</Words>
  <Characters>4151</Characters>
  <Lines>0</Lines>
  <Paragraphs>0</Paragraphs>
  <TotalTime>5</TotalTime>
  <ScaleCrop>false</ScaleCrop>
  <LinksUpToDate>false</LinksUpToDate>
  <CharactersWithSpaces>4330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2026-07-20T07:57:00Z</dcterms:created>
  <dc:creator>lenovo</dc:creator>
  <cp:lastModifiedBy>lenovo</cp:lastModifiedBy>
  <dcterms:modified xsi:type="dcterms:W3CDTF">2026-07-22T07:48:23Z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36FFD033E4CA44D88868527F1B39CB18_11</vt:lpwstr>
  </property>
  <property fmtid="{D5CDD505-2E9C-101B-9397-08002B2CF9AE}" pid="4" name="KSOTemplateDocerSaveRecord">
    <vt:lpwstr>eyJoZGlkIjoiZmY3YTIxZGEwOTM3MDgxYzkwNzEzMTgyNGZlNzVlNzMiLCJ1c2VySWQiOiI0ODMyODM4ODgifQ==</vt:lpwstr>
  </property>
</Properties>
</file>